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EA72B4">
        <w:rPr>
          <w:rFonts w:ascii="Arial" w:hAnsi="Arial" w:cs="Arial"/>
          <w:b/>
          <w:u w:val="single"/>
        </w:rPr>
        <w:t>28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EA72B4">
        <w:rPr>
          <w:rFonts w:ascii="Arial" w:hAnsi="Arial" w:cs="Arial"/>
        </w:rPr>
        <w:t>-2192,62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EA72B4">
        <w:rPr>
          <w:rFonts w:ascii="Arial" w:hAnsi="Arial" w:cs="Arial"/>
        </w:rPr>
        <w:t>194265,35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EA72B4">
        <w:rPr>
          <w:rFonts w:ascii="Arial" w:hAnsi="Arial" w:cs="Arial"/>
        </w:rPr>
        <w:t>194265,35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EA72B4">
        <w:rPr>
          <w:rFonts w:ascii="Arial" w:hAnsi="Arial" w:cs="Arial"/>
        </w:rPr>
        <w:t>119979,22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EA72B4">
        <w:rPr>
          <w:rFonts w:ascii="Arial" w:hAnsi="Arial" w:cs="Arial"/>
        </w:rPr>
        <w:t>104191,61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EA72B4">
        <w:rPr>
          <w:rFonts w:ascii="Arial" w:hAnsi="Arial" w:cs="Arial"/>
        </w:rPr>
        <w:t>10905,94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EA72B4">
        <w:rPr>
          <w:rFonts w:ascii="Arial" w:hAnsi="Arial" w:cs="Arial"/>
        </w:rPr>
        <w:t>390,56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EA72B4">
        <w:rPr>
          <w:rFonts w:ascii="Arial" w:hAnsi="Arial" w:cs="Arial"/>
        </w:rPr>
        <w:t>2988,94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EA72B4">
        <w:rPr>
          <w:rFonts w:ascii="Arial" w:hAnsi="Arial" w:cs="Arial"/>
        </w:rPr>
        <w:t>1502,17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EA72B4">
        <w:rPr>
          <w:rFonts w:ascii="Arial" w:hAnsi="Arial" w:cs="Arial"/>
        </w:rPr>
        <w:t>85341,40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EA72B4">
        <w:rPr>
          <w:rFonts w:ascii="Arial" w:hAnsi="Arial" w:cs="Arial"/>
          <w:b/>
        </w:rPr>
        <w:t>2042,96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EA72B4">
        <w:rPr>
          <w:rFonts w:ascii="Arial" w:hAnsi="Arial" w:cs="Arial"/>
          <w:u w:val="single"/>
        </w:rPr>
        <w:t>-13247,89__________________________________________________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A6E5C"/>
    <w:rsid w:val="004E1216"/>
    <w:rsid w:val="00536623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727A9"/>
    <w:rsid w:val="00C246FE"/>
    <w:rsid w:val="00D022B3"/>
    <w:rsid w:val="00D30F24"/>
    <w:rsid w:val="00E42DD9"/>
    <w:rsid w:val="00EA72B4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2AB1-679E-40AB-9F59-BE37372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2015-11-03T05:24:00Z</dcterms:created>
  <dcterms:modified xsi:type="dcterms:W3CDTF">2015-11-03T05:24:00Z</dcterms:modified>
</cp:coreProperties>
</file>